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E03BB5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9267E4" w:rsidRPr="009D252C" w:rsidRDefault="002C494A" w:rsidP="009267E4">
      <w:pPr>
        <w:widowControl w:val="0"/>
        <w:jc w:val="center"/>
        <w:rPr>
          <w:b/>
          <w:bCs/>
        </w:rPr>
      </w:pPr>
      <w:r w:rsidRPr="009267E4">
        <w:rPr>
          <w:b/>
          <w:bCs/>
        </w:rPr>
        <w:t>ПАРАКЛИНИЧЕСКИЕ ИССЛЕДОВАНИЯ В ПСИХИАТРИИ</w:t>
      </w:r>
    </w:p>
    <w:p w:rsidR="009267E4" w:rsidRPr="00744168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744168">
        <w:rPr>
          <w:bCs/>
        </w:rPr>
        <w:t xml:space="preserve">Трудоемкость практики    </w:t>
      </w:r>
      <w:r w:rsidR="000919E9" w:rsidRPr="00744168">
        <w:rPr>
          <w:bCs/>
        </w:rPr>
        <w:t>1</w:t>
      </w:r>
      <w:r w:rsidR="000919E9" w:rsidRPr="00744168">
        <w:rPr>
          <w:bCs/>
          <w:u w:val="single"/>
        </w:rPr>
        <w:t xml:space="preserve"> зачетная</w:t>
      </w:r>
      <w:r w:rsidRPr="00744168">
        <w:rPr>
          <w:bCs/>
          <w:u w:val="single"/>
        </w:rPr>
        <w:t xml:space="preserve"> единиц</w:t>
      </w:r>
      <w:r w:rsidR="000919E9" w:rsidRPr="00744168">
        <w:rPr>
          <w:bCs/>
          <w:u w:val="single"/>
        </w:rPr>
        <w:t>а</w:t>
      </w:r>
    </w:p>
    <w:p w:rsidR="009267E4" w:rsidRPr="00744168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744168">
        <w:rPr>
          <w:bCs/>
        </w:rPr>
        <w:t>Продолжительность практики –</w:t>
      </w:r>
      <w:r w:rsidR="000919E9" w:rsidRPr="00744168">
        <w:rPr>
          <w:bCs/>
          <w:u w:val="single"/>
        </w:rPr>
        <w:t xml:space="preserve"> 1</w:t>
      </w:r>
      <w:r w:rsidRPr="00744168">
        <w:rPr>
          <w:bCs/>
          <w:u w:val="single"/>
        </w:rPr>
        <w:t xml:space="preserve"> недел</w:t>
      </w:r>
      <w:r w:rsidR="000919E9" w:rsidRPr="00744168">
        <w:rPr>
          <w:bCs/>
          <w:u w:val="single"/>
        </w:rPr>
        <w:t>я</w:t>
      </w:r>
    </w:p>
    <w:p w:rsidR="009267E4" w:rsidRPr="00744168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2C494A" w:rsidRPr="00744168" w:rsidRDefault="00071635" w:rsidP="002C494A">
      <w:pPr>
        <w:pStyle w:val="2"/>
        <w:spacing w:before="200"/>
        <w:ind w:left="425" w:firstLine="0"/>
        <w:rPr>
          <w:b w:val="0"/>
          <w:i/>
        </w:rPr>
      </w:pPr>
      <w:r w:rsidRPr="00744168">
        <w:t>1. Ц</w:t>
      </w:r>
      <w:r w:rsidR="009267E4" w:rsidRPr="00744168">
        <w:rPr>
          <w:bCs/>
        </w:rPr>
        <w:t xml:space="preserve">ель прохождения практики </w:t>
      </w:r>
      <w:r w:rsidR="002C494A" w:rsidRPr="00744168">
        <w:rPr>
          <w:b w:val="0"/>
          <w:shd w:val="clear" w:color="auto" w:fill="FFFFFF"/>
        </w:rPr>
        <w:t xml:space="preserve">умение применять на практике и интерпретировать результаты экспериментальных </w:t>
      </w:r>
      <w:proofErr w:type="spellStart"/>
      <w:r w:rsidR="002C494A" w:rsidRPr="00744168">
        <w:rPr>
          <w:b w:val="0"/>
          <w:shd w:val="clear" w:color="auto" w:fill="FFFFFF"/>
        </w:rPr>
        <w:t>параклинических</w:t>
      </w:r>
      <w:proofErr w:type="spellEnd"/>
      <w:r w:rsidR="002C494A" w:rsidRPr="00744168">
        <w:rPr>
          <w:b w:val="0"/>
          <w:shd w:val="clear" w:color="auto" w:fill="FFFFFF"/>
        </w:rPr>
        <w:t xml:space="preserve"> исследований, используемых для диагностики психиатрических заболеваний</w:t>
      </w:r>
      <w:r w:rsidR="002C494A" w:rsidRPr="00744168">
        <w:rPr>
          <w:b w:val="0"/>
        </w:rPr>
        <w:t>.</w:t>
      </w:r>
      <w:r w:rsidR="002C494A" w:rsidRPr="00744168">
        <w:rPr>
          <w:b w:val="0"/>
          <w:i/>
        </w:rPr>
        <w:t xml:space="preserve"> </w:t>
      </w:r>
    </w:p>
    <w:p w:rsidR="00071635" w:rsidRPr="00744168" w:rsidRDefault="00071635" w:rsidP="00BD5097">
      <w:pPr>
        <w:widowControl w:val="0"/>
        <w:tabs>
          <w:tab w:val="left" w:pos="709"/>
        </w:tabs>
        <w:ind w:firstLine="708"/>
        <w:jc w:val="both"/>
        <w:rPr>
          <w:b/>
          <w:i/>
        </w:rPr>
      </w:pPr>
    </w:p>
    <w:p w:rsidR="002C494A" w:rsidRPr="00744168" w:rsidRDefault="00BD5097" w:rsidP="002C494A">
      <w:pPr>
        <w:widowControl w:val="0"/>
        <w:tabs>
          <w:tab w:val="left" w:pos="709"/>
        </w:tabs>
        <w:jc w:val="both"/>
      </w:pPr>
      <w:r w:rsidRPr="00744168">
        <w:t xml:space="preserve">               </w:t>
      </w:r>
      <w:r w:rsidRPr="00744168">
        <w:rPr>
          <w:b/>
        </w:rPr>
        <w:t>Задачи практики</w:t>
      </w:r>
      <w:r w:rsidRPr="00744168">
        <w:t xml:space="preserve">: 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  <w:i/>
        </w:rPr>
        <w:t>знать</w:t>
      </w:r>
      <w:r w:rsidRPr="00744168">
        <w:rPr>
          <w:bCs/>
        </w:rPr>
        <w:t xml:space="preserve">: 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особенности применения методов </w:t>
      </w:r>
      <w:proofErr w:type="spellStart"/>
      <w:r w:rsidRPr="00744168">
        <w:rPr>
          <w:bCs/>
        </w:rPr>
        <w:t>нейровизуализации</w:t>
      </w:r>
      <w:proofErr w:type="spellEnd"/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показания и противопоказания к проведению </w:t>
      </w:r>
      <w:proofErr w:type="spellStart"/>
      <w:r w:rsidRPr="00744168">
        <w:rPr>
          <w:bCs/>
        </w:rPr>
        <w:t>параклинических</w:t>
      </w:r>
      <w:proofErr w:type="spellEnd"/>
      <w:r w:rsidRPr="00744168">
        <w:rPr>
          <w:bCs/>
        </w:rPr>
        <w:t xml:space="preserve"> методов обследования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специфику применения </w:t>
      </w:r>
      <w:proofErr w:type="spellStart"/>
      <w:r w:rsidRPr="00744168">
        <w:rPr>
          <w:bCs/>
        </w:rPr>
        <w:t>параклинических</w:t>
      </w:r>
      <w:proofErr w:type="spellEnd"/>
      <w:r w:rsidRPr="00744168">
        <w:rPr>
          <w:bCs/>
        </w:rPr>
        <w:t xml:space="preserve"> методов в психиатрическом стационаре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>- основные методы психологического обследования пациентов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основные принципы проведения </w:t>
      </w:r>
      <w:proofErr w:type="spellStart"/>
      <w:r w:rsidRPr="00744168">
        <w:rPr>
          <w:bCs/>
        </w:rPr>
        <w:t>параклинических</w:t>
      </w:r>
      <w:proofErr w:type="spellEnd"/>
      <w:r w:rsidRPr="00744168">
        <w:rPr>
          <w:bCs/>
        </w:rPr>
        <w:t xml:space="preserve"> методов обследования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  <w:i/>
        </w:rPr>
      </w:pPr>
      <w:r w:rsidRPr="00744168">
        <w:rPr>
          <w:bCs/>
          <w:i/>
        </w:rPr>
        <w:t>уметь: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формировать план необходимого обследования пациентов в психиатрическом </w:t>
      </w:r>
      <w:proofErr w:type="spellStart"/>
      <w:r w:rsidRPr="00744168">
        <w:rPr>
          <w:bCs/>
        </w:rPr>
        <w:t>стапционаре</w:t>
      </w:r>
      <w:proofErr w:type="spellEnd"/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взаимодействовать со специалистами, осуществляющими </w:t>
      </w:r>
      <w:proofErr w:type="spellStart"/>
      <w:r w:rsidRPr="00744168">
        <w:rPr>
          <w:bCs/>
        </w:rPr>
        <w:t>парактиническое</w:t>
      </w:r>
      <w:proofErr w:type="spellEnd"/>
      <w:r w:rsidRPr="00744168">
        <w:rPr>
          <w:bCs/>
        </w:rPr>
        <w:t xml:space="preserve"> обследование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интерпретировать результаты </w:t>
      </w:r>
      <w:proofErr w:type="spellStart"/>
      <w:r w:rsidRPr="00744168">
        <w:rPr>
          <w:bCs/>
        </w:rPr>
        <w:t>параклинических</w:t>
      </w:r>
      <w:proofErr w:type="spellEnd"/>
      <w:r w:rsidRPr="00744168">
        <w:rPr>
          <w:bCs/>
        </w:rPr>
        <w:t xml:space="preserve"> методов обследования.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  <w:i/>
        </w:rPr>
        <w:t>владеть</w:t>
      </w:r>
      <w:r w:rsidRPr="00744168">
        <w:rPr>
          <w:bCs/>
        </w:rPr>
        <w:t xml:space="preserve"> навыками:</w:t>
      </w:r>
    </w:p>
    <w:p w:rsidR="002C494A" w:rsidRPr="00744168" w:rsidRDefault="002C494A" w:rsidP="002C494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 xml:space="preserve">- проведения </w:t>
      </w:r>
      <w:proofErr w:type="spellStart"/>
      <w:r w:rsidRPr="00744168">
        <w:rPr>
          <w:bCs/>
        </w:rPr>
        <w:t>параклинического</w:t>
      </w:r>
      <w:proofErr w:type="spellEnd"/>
      <w:r w:rsidRPr="00744168">
        <w:rPr>
          <w:bCs/>
        </w:rPr>
        <w:t xml:space="preserve"> обследования</w:t>
      </w:r>
    </w:p>
    <w:p w:rsidR="002C494A" w:rsidRPr="00744168" w:rsidRDefault="00744168" w:rsidP="002C494A">
      <w:pPr>
        <w:widowControl w:val="0"/>
        <w:tabs>
          <w:tab w:val="left" w:pos="709"/>
        </w:tabs>
        <w:jc w:val="both"/>
      </w:pPr>
      <w:r w:rsidRPr="00744168">
        <w:rPr>
          <w:bCs/>
        </w:rPr>
        <w:t xml:space="preserve">         -</w:t>
      </w:r>
      <w:r w:rsidR="002C494A" w:rsidRPr="00744168">
        <w:rPr>
          <w:bCs/>
        </w:rPr>
        <w:t>составления персонифицированного алгоритма обследования пациентов, страдающих различными нозологическими формами</w:t>
      </w:r>
    </w:p>
    <w:p w:rsidR="000919E9" w:rsidRPr="00744168" w:rsidRDefault="000919E9" w:rsidP="000919E9"/>
    <w:p w:rsidR="00071635" w:rsidRPr="00744168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744168">
        <w:rPr>
          <w:bCs/>
        </w:rPr>
        <w:tab/>
        <w:t xml:space="preserve">2. </w:t>
      </w:r>
      <w:r w:rsidRPr="00744168">
        <w:rPr>
          <w:b/>
          <w:bCs/>
        </w:rPr>
        <w:t xml:space="preserve">Место </w:t>
      </w:r>
      <w:r w:rsidR="009267E4" w:rsidRPr="00744168">
        <w:rPr>
          <w:b/>
          <w:bCs/>
        </w:rPr>
        <w:t>практики</w:t>
      </w:r>
      <w:r w:rsidRPr="00744168">
        <w:rPr>
          <w:bCs/>
        </w:rPr>
        <w:t xml:space="preserve"> </w:t>
      </w:r>
    </w:p>
    <w:p w:rsidR="00071635" w:rsidRPr="00744168" w:rsidRDefault="00071635" w:rsidP="00071635">
      <w:pPr>
        <w:widowControl w:val="0"/>
        <w:tabs>
          <w:tab w:val="left" w:pos="709"/>
        </w:tabs>
        <w:jc w:val="both"/>
      </w:pPr>
      <w:r w:rsidRPr="00744168">
        <w:tab/>
      </w:r>
      <w:r w:rsidR="009267E4" w:rsidRPr="00744168">
        <w:t>Практика</w:t>
      </w:r>
      <w:r w:rsidRPr="00744168">
        <w:t xml:space="preserve"> относится к </w:t>
      </w:r>
      <w:r w:rsidR="00D35A35" w:rsidRPr="00744168">
        <w:t>разделу</w:t>
      </w:r>
      <w:r w:rsidRPr="00744168">
        <w:t xml:space="preserve"> </w:t>
      </w:r>
      <w:r w:rsidR="001F36FC">
        <w:t>Вариативная часть (практики по выбору)</w:t>
      </w:r>
    </w:p>
    <w:p w:rsidR="00071635" w:rsidRPr="00744168" w:rsidRDefault="00071635" w:rsidP="00071635">
      <w:pPr>
        <w:widowControl w:val="0"/>
        <w:tabs>
          <w:tab w:val="left" w:pos="708"/>
        </w:tabs>
        <w:jc w:val="both"/>
      </w:pPr>
      <w:r w:rsidRPr="00744168">
        <w:tab/>
      </w:r>
      <w:r w:rsidRPr="00744168">
        <w:tab/>
      </w:r>
      <w:r w:rsidRPr="00744168">
        <w:tab/>
      </w:r>
      <w:r w:rsidRPr="00744168">
        <w:tab/>
      </w:r>
      <w:r w:rsidRPr="00744168">
        <w:tab/>
      </w:r>
      <w:r w:rsidRPr="00744168">
        <w:tab/>
      </w:r>
      <w:r w:rsidRPr="00744168">
        <w:tab/>
      </w:r>
    </w:p>
    <w:p w:rsidR="00071635" w:rsidRPr="00744168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744168">
        <w:rPr>
          <w:bCs/>
        </w:rPr>
        <w:tab/>
        <w:t xml:space="preserve">3. </w:t>
      </w:r>
      <w:r w:rsidRPr="00744168">
        <w:rPr>
          <w:b/>
          <w:bCs/>
        </w:rPr>
        <w:t xml:space="preserve">Требования к результатам </w:t>
      </w:r>
      <w:r w:rsidR="009267E4" w:rsidRPr="00744168">
        <w:rPr>
          <w:b/>
          <w:bCs/>
        </w:rPr>
        <w:t>прохождения практики</w:t>
      </w:r>
      <w:r w:rsidRPr="00744168">
        <w:rPr>
          <w:bCs/>
        </w:rPr>
        <w:t>:</w:t>
      </w:r>
    </w:p>
    <w:p w:rsidR="00BD5097" w:rsidRPr="00744168" w:rsidRDefault="009267E4" w:rsidP="00911C3C">
      <w:pPr>
        <w:pStyle w:val="a8"/>
        <w:spacing w:after="0"/>
        <w:ind w:firstLine="539"/>
      </w:pPr>
      <w:r w:rsidRPr="00744168">
        <w:t>Прохождение практики</w:t>
      </w:r>
      <w:r w:rsidR="00911C3C" w:rsidRPr="00744168">
        <w:t xml:space="preserve"> направлено на формирование у обучающихся следующих универсальных (УК) и профессиональных (ПК)</w:t>
      </w:r>
      <w:r w:rsidR="0003251C" w:rsidRPr="00744168">
        <w:t xml:space="preserve"> компетенций</w:t>
      </w:r>
      <w:r w:rsidR="00D35A35" w:rsidRPr="00744168">
        <w:t>:</w:t>
      </w:r>
      <w:r w:rsidR="00911C3C" w:rsidRPr="00744168">
        <w:t xml:space="preserve"> </w:t>
      </w:r>
    </w:p>
    <w:p w:rsidR="00D35A35" w:rsidRPr="00744168" w:rsidRDefault="00D35A35" w:rsidP="00911C3C">
      <w:pPr>
        <w:pStyle w:val="a8"/>
        <w:spacing w:after="0"/>
        <w:ind w:firstLine="539"/>
      </w:pPr>
      <w:r w:rsidRPr="00744168">
        <w:t xml:space="preserve">   готовность к абстрактному мышлению, анализу, синтезу (УК-1);</w:t>
      </w:r>
    </w:p>
    <w:p w:rsidR="00D35A35" w:rsidRPr="00744168" w:rsidRDefault="00D35A35" w:rsidP="00D35A35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4168">
        <w:rPr>
          <w:bCs/>
        </w:rPr>
        <w:t xml:space="preserve">готовность к управлению коллективом, толерантно воспринимать социальные, </w:t>
      </w:r>
    </w:p>
    <w:p w:rsidR="00D35A35" w:rsidRPr="00744168" w:rsidRDefault="00D35A35" w:rsidP="00D35A35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4168">
        <w:rPr>
          <w:bCs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D35A35" w:rsidRPr="00744168" w:rsidRDefault="00D35A35" w:rsidP="000919E9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4168">
        <w:rPr>
          <w:bCs/>
        </w:rPr>
        <w:t xml:space="preserve">готовность к проведению профилактических медицинских осмотров, </w:t>
      </w:r>
    </w:p>
    <w:p w:rsidR="00D35A35" w:rsidRPr="00744168" w:rsidRDefault="00D35A35" w:rsidP="00D35A35">
      <w:pPr>
        <w:widowControl w:val="0"/>
        <w:tabs>
          <w:tab w:val="left" w:pos="708"/>
        </w:tabs>
        <w:ind w:firstLine="709"/>
        <w:jc w:val="both"/>
        <w:rPr>
          <w:bCs/>
        </w:rPr>
      </w:pPr>
      <w:r w:rsidRPr="00744168">
        <w:rPr>
          <w:bCs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071635" w:rsidRPr="00744168" w:rsidRDefault="000919E9" w:rsidP="00071635">
      <w:pPr>
        <w:widowControl w:val="0"/>
        <w:tabs>
          <w:tab w:val="right" w:leader="underscore" w:pos="9639"/>
        </w:tabs>
        <w:jc w:val="both"/>
        <w:rPr>
          <w:bCs/>
        </w:rPr>
      </w:pPr>
      <w:r w:rsidRPr="00744168">
        <w:rPr>
          <w:bCs/>
        </w:rPr>
        <w:t xml:space="preserve">           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744168" w:rsidRDefault="00744168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E03BB5" w:rsidRPr="00744168" w:rsidRDefault="00E03BB5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9267E4" w:rsidRPr="00744168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744168">
        <w:rPr>
          <w:bCs/>
        </w:rPr>
        <w:lastRenderedPageBreak/>
        <w:t xml:space="preserve">4. </w:t>
      </w:r>
      <w:r w:rsidR="00BD5097" w:rsidRPr="00744168">
        <w:rPr>
          <w:b/>
          <w:bCs/>
        </w:rPr>
        <w:t>Содержание практики</w:t>
      </w:r>
      <w:r w:rsidRPr="00744168">
        <w:rPr>
          <w:bCs/>
        </w:rPr>
        <w:t>:</w:t>
      </w:r>
    </w:p>
    <w:p w:rsidR="00BD5097" w:rsidRPr="00744168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BD5097" w:rsidRPr="00744168" w:rsidTr="00BD5097">
        <w:tc>
          <w:tcPr>
            <w:tcW w:w="4785" w:type="dxa"/>
          </w:tcPr>
          <w:p w:rsidR="00BD5097" w:rsidRPr="00744168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4168">
              <w:rPr>
                <w:bCs/>
                <w:sz w:val="24"/>
                <w:szCs w:val="24"/>
              </w:rPr>
              <w:t>Теоретическая часть</w:t>
            </w:r>
          </w:p>
        </w:tc>
        <w:tc>
          <w:tcPr>
            <w:tcW w:w="4786" w:type="dxa"/>
          </w:tcPr>
          <w:p w:rsidR="002C494A" w:rsidRPr="00744168" w:rsidRDefault="002C494A" w:rsidP="002C494A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4168">
              <w:rPr>
                <w:sz w:val="24"/>
                <w:szCs w:val="24"/>
              </w:rPr>
              <w:t xml:space="preserve">Ознакомление с рекомендованной литературой. Психопатологические синдромы и необходимые методы исследования для подтверждения или исключения диагноза. Взаимосвязь психического и неврологического состояния пациентов. Показания к проведению электроэнцефалографических методов исследования. Метод электроэнцефалографии. Интерпретация результатов ЭЭГ. Особенности ЭЭГ картины при </w:t>
            </w:r>
            <w:proofErr w:type="spellStart"/>
            <w:r w:rsidRPr="00744168">
              <w:rPr>
                <w:sz w:val="24"/>
                <w:szCs w:val="24"/>
              </w:rPr>
              <w:t>различныхпсихиатрических</w:t>
            </w:r>
            <w:proofErr w:type="spellEnd"/>
            <w:r w:rsidRPr="00744168">
              <w:rPr>
                <w:sz w:val="24"/>
                <w:szCs w:val="24"/>
              </w:rPr>
              <w:t xml:space="preserve"> синдромах (разные виды депрессий, психозов) и эпилепсии. Оценка эффективности терапии с помощью ЭЭГ – предикторы эффективности. Рентгенологическая картина опухолей мозга и сосудистых заболеваний мозга.</w:t>
            </w:r>
          </w:p>
        </w:tc>
      </w:tr>
      <w:tr w:rsidR="002C494A" w:rsidRPr="00744168" w:rsidTr="00BD5097">
        <w:tc>
          <w:tcPr>
            <w:tcW w:w="4785" w:type="dxa"/>
          </w:tcPr>
          <w:p w:rsidR="002C494A" w:rsidRPr="00744168" w:rsidRDefault="00744168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744168">
              <w:rPr>
                <w:bCs/>
                <w:sz w:val="24"/>
                <w:szCs w:val="24"/>
              </w:rPr>
              <w:t>Практическая часть</w:t>
            </w:r>
          </w:p>
        </w:tc>
        <w:tc>
          <w:tcPr>
            <w:tcW w:w="4786" w:type="dxa"/>
          </w:tcPr>
          <w:p w:rsidR="00744168" w:rsidRPr="00744168" w:rsidRDefault="002C494A" w:rsidP="00744168">
            <w:pPr>
              <w:widowControl w:val="0"/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  <w:r w:rsidRPr="00744168">
              <w:rPr>
                <w:sz w:val="24"/>
                <w:szCs w:val="24"/>
              </w:rPr>
              <w:t xml:space="preserve">Оценка необходимости проведения дополнительных методов обследования. </w:t>
            </w:r>
            <w:r w:rsidR="00744168" w:rsidRPr="00744168">
              <w:rPr>
                <w:bCs/>
                <w:sz w:val="24"/>
                <w:szCs w:val="24"/>
              </w:rPr>
              <w:t>Составления персонифицированного алгоритма обследования пациентов, страдающих различными нозологическими формами</w:t>
            </w:r>
          </w:p>
          <w:p w:rsidR="002C494A" w:rsidRPr="00744168" w:rsidRDefault="002C494A" w:rsidP="006D62BD">
            <w:pPr>
              <w:rPr>
                <w:sz w:val="24"/>
                <w:szCs w:val="24"/>
              </w:rPr>
            </w:pPr>
            <w:r w:rsidRPr="00744168">
              <w:rPr>
                <w:sz w:val="24"/>
                <w:szCs w:val="24"/>
              </w:rPr>
              <w:t>Выявление показаний к проведению различных методов исследования при изучении клинических случаев. Интерпретация результатов ЭЭГ-исследования с проведением оценки эффективности проводимой терапии в случае проведения ЭЭГ в динамике. Интерпретация результатов рентгенологических методов обследования.</w:t>
            </w:r>
          </w:p>
        </w:tc>
      </w:tr>
    </w:tbl>
    <w:p w:rsidR="00BD5097" w:rsidRPr="00744168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9267E4" w:rsidRPr="00744168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744168">
        <w:rPr>
          <w:bCs/>
        </w:rPr>
        <w:t xml:space="preserve">Практика проводится согласно расписанию: </w:t>
      </w:r>
    </w:p>
    <w:p w:rsidR="00744168" w:rsidRPr="00744168" w:rsidRDefault="00744168" w:rsidP="00744168">
      <w:pPr>
        <w:tabs>
          <w:tab w:val="right" w:leader="underscore" w:pos="9639"/>
        </w:tabs>
        <w:ind w:firstLine="709"/>
        <w:jc w:val="both"/>
        <w:rPr>
          <w:bCs/>
        </w:rPr>
      </w:pPr>
      <w:r w:rsidRPr="00744168">
        <w:rPr>
          <w:bCs/>
        </w:rPr>
        <w:t>2 семестр – 194 часа</w:t>
      </w:r>
    </w:p>
    <w:p w:rsidR="00744168" w:rsidRPr="00744168" w:rsidRDefault="00744168" w:rsidP="00744168">
      <w:pPr>
        <w:tabs>
          <w:tab w:val="right" w:leader="underscore" w:pos="9639"/>
        </w:tabs>
        <w:ind w:firstLine="709"/>
        <w:jc w:val="both"/>
        <w:rPr>
          <w:bCs/>
        </w:rPr>
      </w:pPr>
      <w:r w:rsidRPr="00744168">
        <w:rPr>
          <w:bCs/>
        </w:rPr>
        <w:t>4 семестр – 58 часов</w:t>
      </w:r>
    </w:p>
    <w:p w:rsidR="009267E4" w:rsidRPr="00744168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RPr="00744168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5496C"/>
    <w:rsid w:val="00071635"/>
    <w:rsid w:val="000919E9"/>
    <w:rsid w:val="000A6EC5"/>
    <w:rsid w:val="000E0CFB"/>
    <w:rsid w:val="001F36FC"/>
    <w:rsid w:val="00246BC7"/>
    <w:rsid w:val="002665C1"/>
    <w:rsid w:val="002C494A"/>
    <w:rsid w:val="005F5BEB"/>
    <w:rsid w:val="00744168"/>
    <w:rsid w:val="00911C3C"/>
    <w:rsid w:val="009267E4"/>
    <w:rsid w:val="0094004F"/>
    <w:rsid w:val="009E2CE4"/>
    <w:rsid w:val="00AD7673"/>
    <w:rsid w:val="00B40E33"/>
    <w:rsid w:val="00BD5097"/>
    <w:rsid w:val="00C37A1F"/>
    <w:rsid w:val="00C642EA"/>
    <w:rsid w:val="00D35A35"/>
    <w:rsid w:val="00E03BB5"/>
    <w:rsid w:val="00E119A5"/>
    <w:rsid w:val="00EF0EB7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semiHidden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5</cp:revision>
  <dcterms:created xsi:type="dcterms:W3CDTF">2015-12-12T19:08:00Z</dcterms:created>
  <dcterms:modified xsi:type="dcterms:W3CDTF">2015-12-15T02:45:00Z</dcterms:modified>
</cp:coreProperties>
</file>